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8156B" w:rsidRDefault="00730A5A">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bookmarkStart w:id="0" w:name="_gjdgxs" w:colFirst="0" w:colLast="0"/>
      <w:bookmarkEnd w:id="0"/>
      <w:r>
        <w:rPr>
          <w:rFonts w:ascii="Arial" w:eastAsia="Arial" w:hAnsi="Arial" w:cs="Arial"/>
          <w:b/>
          <w:color w:val="000000"/>
          <w:sz w:val="24"/>
          <w:szCs w:val="24"/>
        </w:rPr>
        <w:t xml:space="preserve">General Provisions </w:t>
      </w:r>
    </w:p>
    <w:p w14:paraId="00000003"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Charges:</w:t>
      </w:r>
    </w:p>
    <w:p w14:paraId="00000004"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sz w:val="24"/>
          <w:szCs w:val="24"/>
        </w:rPr>
        <w:t>for any Call-Off Contract awarded pursuant to this Framework Contract shall comply with the Framework Prices</w:t>
      </w:r>
    </w:p>
    <w:p w14:paraId="00000005"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6"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07"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not be impacted by any change to the Framework Prices. </w:t>
      </w:r>
    </w:p>
    <w:p w14:paraId="00000008"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bookmarkStart w:id="1" w:name="_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09"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Prices for Goods and Services under this Framework Contract shall be comparable to the Supplier’s lowest available prices for comparable goods and services provided by the Supplier to the public sector through other commercial arrangements and that are supplied on comparable terms. </w:t>
      </w:r>
    </w:p>
    <w:p w14:paraId="0000000A"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Supplier shall on request make available to Buyers and/or CCS following a Further Competition Procedure, access to a full, transparent breakdown for Charges for Goods and Services.  This breakdown should include;</w:t>
      </w:r>
    </w:p>
    <w:p w14:paraId="0000000B"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 xml:space="preserve">Margin for Goods, including any software, </w:t>
      </w:r>
    </w:p>
    <w:p w14:paraId="0000000C"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For Goods and Services including the supply of software provided under Lots 1, 3 and 4, the price impact of profit share initiatives including registration discounts and vendor rebates</w:t>
      </w:r>
    </w:p>
    <w:p w14:paraId="0000000D"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The staff day rates for the Services to be supplied, and staff time allocated to each of the day rates</w:t>
      </w:r>
    </w:p>
    <w:p w14:paraId="0000000E"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All other cost elements involved, including time and materials.</w:t>
      </w:r>
    </w:p>
    <w:p w14:paraId="0000000F"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Supplier may be required by a Buyer to trade via P2P.  For the Goods and Services provided under Lot 8 it is mandatory for the Supplier to be able to trade via P2P.</w:t>
      </w:r>
    </w:p>
    <w:p w14:paraId="00000010"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How Framework Prices are calculated </w:t>
      </w:r>
    </w:p>
    <w:p w14:paraId="00000011" w14:textId="77777777" w:rsidR="00A8156B" w:rsidRDefault="00A8156B">
      <w:pPr>
        <w:pBdr>
          <w:top w:val="nil"/>
          <w:left w:val="nil"/>
          <w:bottom w:val="nil"/>
          <w:right w:val="nil"/>
          <w:between w:val="nil"/>
        </w:pBdr>
        <w:tabs>
          <w:tab w:val="left" w:pos="142"/>
        </w:tabs>
        <w:spacing w:before="120" w:after="240" w:line="240" w:lineRule="auto"/>
        <w:jc w:val="both"/>
      </w:pPr>
    </w:p>
    <w:p w14:paraId="00000012"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lastRenderedPageBreak/>
        <w:t>The pricing mechanisms and prices set out in Annex 1 shall be available for use in calculation of Framework Prices in Call Off Contracts.</w:t>
      </w:r>
    </w:p>
    <w:p w14:paraId="00000013"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bookmarkStart w:id="2" w:name="1fob9te" w:colFirst="0" w:colLast="0"/>
      <w:bookmarkStart w:id="3" w:name="_3znysh7" w:colFirst="0" w:colLast="0"/>
      <w:bookmarkEnd w:id="2"/>
      <w:bookmarkEnd w:id="3"/>
      <w:r>
        <w:rPr>
          <w:rFonts w:ascii="Arial" w:eastAsia="Arial" w:hAnsi="Arial" w:cs="Arial"/>
          <w:b/>
          <w:color w:val="000000"/>
          <w:sz w:val="24"/>
          <w:szCs w:val="24"/>
        </w:rPr>
        <w:t xml:space="preserve">Expenses </w:t>
      </w:r>
    </w:p>
    <w:p w14:paraId="00000014"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5"/>
      </w:pPr>
      <w:bookmarkStart w:id="4" w:name="_2et92p0" w:colFirst="0" w:colLast="0"/>
      <w:bookmarkEnd w:id="4"/>
      <w:r>
        <w:rPr>
          <w:rFonts w:ascii="Arial" w:eastAsia="Arial" w:hAnsi="Arial" w:cs="Arial"/>
          <w:color w:val="000000"/>
          <w:sz w:val="24"/>
          <w:szCs w:val="24"/>
        </w:rPr>
        <w:t>Except as expressly set out in Paragraph 3.2 below, or otherwise stated in a Call Off Order Form the Framework Prices shall include all costs and expenses relating to the provision of Deliverables. No further amounts shall be payable in respect of matters such as:</w:t>
      </w:r>
    </w:p>
    <w:p w14:paraId="00000015" w14:textId="77777777" w:rsidR="00A8156B" w:rsidRDefault="00730A5A">
      <w:pPr>
        <w:numPr>
          <w:ilvl w:val="2"/>
          <w:numId w:val="2"/>
        </w:numPr>
        <w:pBdr>
          <w:top w:val="nil"/>
          <w:left w:val="nil"/>
          <w:bottom w:val="nil"/>
          <w:right w:val="nil"/>
          <w:between w:val="nil"/>
        </w:pBdr>
        <w:tabs>
          <w:tab w:val="left" w:pos="1985"/>
          <w:tab w:val="left" w:pos="2127"/>
          <w:tab w:val="left" w:pos="1980"/>
        </w:tabs>
        <w:spacing w:before="120" w:after="120" w:line="240" w:lineRule="auto"/>
        <w:ind w:left="1979" w:hanging="811"/>
        <w:rPr>
          <w:rFonts w:ascii="Arial" w:eastAsia="Arial" w:hAnsi="Arial" w:cs="Arial"/>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6" w14:textId="77777777" w:rsidR="00A8156B" w:rsidRDefault="00730A5A">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costs incurred prior to the commencement of any Call Off Contract.</w:t>
      </w:r>
    </w:p>
    <w:p w14:paraId="00000017" w14:textId="77777777" w:rsidR="00A8156B" w:rsidRDefault="00730A5A">
      <w:pPr>
        <w:numPr>
          <w:ilvl w:val="1"/>
          <w:numId w:val="2"/>
        </w:numPr>
        <w:pBdr>
          <w:top w:val="nil"/>
          <w:left w:val="nil"/>
          <w:bottom w:val="nil"/>
          <w:right w:val="nil"/>
          <w:between w:val="nil"/>
        </w:pBdr>
        <w:tabs>
          <w:tab w:val="left" w:pos="1134"/>
        </w:tabs>
        <w:spacing w:before="120" w:after="120" w:line="240" w:lineRule="auto"/>
        <w:ind w:left="986" w:hanging="357"/>
      </w:pPr>
      <w:r>
        <w:rPr>
          <w:rFonts w:ascii="Arial" w:eastAsia="Arial" w:hAnsi="Arial" w:cs="Arial"/>
          <w:color w:val="000000"/>
          <w:sz w:val="24"/>
          <w:szCs w:val="24"/>
        </w:rPr>
        <w:t xml:space="preserve">   Expenses shall only be recoverable where:</w:t>
      </w:r>
      <w:r>
        <w:rPr>
          <w:color w:val="000000"/>
        </w:rPr>
        <w:br/>
      </w:r>
      <w:r>
        <w:rPr>
          <w:rFonts w:ascii="Arial" w:eastAsia="Arial" w:hAnsi="Arial" w:cs="Arial"/>
          <w:color w:val="000000"/>
          <w:sz w:val="24"/>
          <w:szCs w:val="24"/>
        </w:rPr>
        <w:t>(</w:t>
      </w:r>
      <w:proofErr w:type="gramStart"/>
      <w:r>
        <w:rPr>
          <w:rFonts w:ascii="Arial" w:eastAsia="Arial" w:hAnsi="Arial" w:cs="Arial"/>
          <w:color w:val="000000"/>
          <w:sz w:val="24"/>
          <w:szCs w:val="24"/>
        </w:rPr>
        <w:t>a)  the</w:t>
      </w:r>
      <w:proofErr w:type="gramEnd"/>
      <w:r>
        <w:rPr>
          <w:rFonts w:ascii="Arial" w:eastAsia="Arial" w:hAnsi="Arial" w:cs="Arial"/>
          <w:color w:val="000000"/>
          <w:sz w:val="24"/>
          <w:szCs w:val="24"/>
        </w:rPr>
        <w:t xml:space="preserve"> Order Form for the relevant Call Off Contract states that recovery is    permitted; and   </w:t>
      </w:r>
      <w:r>
        <w:rPr>
          <w:rFonts w:ascii="Arial" w:eastAsia="Arial" w:hAnsi="Arial" w:cs="Arial"/>
          <w:color w:val="000000"/>
          <w:sz w:val="24"/>
          <w:szCs w:val="24"/>
        </w:rPr>
        <w:br/>
        <w:t>(b) they are Reimbursable Expenses and are supported by Supporting Documentation. The Buyer shall provide a copy of their current expenses policy to the Supplier upon request.</w:t>
      </w:r>
    </w:p>
    <w:p w14:paraId="00000018"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9"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will be fixed for the first 2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A"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bookmarkStart w:id="5" w:name="_tyjcwt" w:colFirst="0" w:colLast="0"/>
      <w:bookmarkEnd w:id="5"/>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B"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14:paraId="0000001C"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list of the Framework Prices to be reviewed;</w:t>
      </w:r>
    </w:p>
    <w:p w14:paraId="0000001D"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for each Framework Price under review, written evidence of the justification for the requested increase including:</w:t>
      </w:r>
    </w:p>
    <w:p w14:paraId="0000001E"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F" w14:textId="77777777" w:rsidR="00A8156B" w:rsidRDefault="00730A5A">
      <w:p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20"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reasons for the movement in the different identified cost components of the relevant Framework Price;</w:t>
      </w:r>
    </w:p>
    <w:p w14:paraId="00000021"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22"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lastRenderedPageBreak/>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Date.</w:t>
      </w:r>
    </w:p>
    <w:p w14:paraId="00000023" w14:textId="77777777" w:rsidR="00A8156B" w:rsidRDefault="00A8156B">
      <w:p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
    <w:p w14:paraId="00000024"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CCS shall consider each request for a price increase.  CCS may grant Approval to an increase at its sole discretion.</w:t>
      </w:r>
    </w:p>
    <w:p w14:paraId="00000025"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26"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7"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14:paraId="00000028"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Specific Change in Law in accordance with Clause 24;</w:t>
      </w:r>
    </w:p>
    <w:p w14:paraId="00000029"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a review in accordance with insurance requirements in Clause 13; </w:t>
      </w:r>
    </w:p>
    <w:p w14:paraId="0000002A"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benchmarking review in accordance with Call Off Schedule 16 (Benchmarking)</w:t>
      </w:r>
    </w:p>
    <w:p w14:paraId="0000002B"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79" w:hanging="811"/>
        <w:rPr>
          <w:rFonts w:ascii="Arial" w:eastAsia="Arial" w:hAnsi="Arial" w:cs="Arial"/>
        </w:rPr>
      </w:pPr>
      <w:r>
        <w:rPr>
          <w:rFonts w:ascii="Arial" w:eastAsia="Arial" w:hAnsi="Arial" w:cs="Arial"/>
          <w:color w:val="000000"/>
          <w:sz w:val="24"/>
          <w:szCs w:val="24"/>
        </w:rPr>
        <w:t xml:space="preserve">a request from the Supplier, which it can make at any time, to decrease the Framework Prices </w:t>
      </w:r>
    </w:p>
    <w:p w14:paraId="0000002C" w14:textId="77777777" w:rsidR="00A8156B" w:rsidRDefault="00A8156B">
      <w:pPr>
        <w:pBdr>
          <w:top w:val="nil"/>
          <w:left w:val="nil"/>
          <w:bottom w:val="nil"/>
          <w:right w:val="nil"/>
          <w:between w:val="nil"/>
        </w:pBdr>
        <w:tabs>
          <w:tab w:val="left" w:pos="1985"/>
          <w:tab w:val="left" w:pos="2127"/>
        </w:tabs>
        <w:spacing w:before="240" w:after="240" w:line="240" w:lineRule="auto"/>
        <w:ind w:left="270"/>
        <w:jc w:val="both"/>
        <w:rPr>
          <w:rFonts w:ascii="Arial Bold" w:eastAsia="Arial Bold" w:hAnsi="Arial Bold" w:cs="Arial Bold"/>
          <w:b/>
          <w:smallCaps/>
          <w:color w:val="000000"/>
          <w:highlight w:val="yellow"/>
        </w:rPr>
      </w:pPr>
    </w:p>
    <w:p w14:paraId="0000002D" w14:textId="77777777" w:rsidR="00A8156B" w:rsidRDefault="00A8156B">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E" w14:textId="77777777" w:rsidR="00A8156B" w:rsidRDefault="00730A5A">
      <w:pPr>
        <w:rPr>
          <w:rFonts w:ascii="Arial" w:eastAsia="Arial" w:hAnsi="Arial" w:cs="Arial"/>
          <w:b/>
          <w:sz w:val="36"/>
          <w:szCs w:val="36"/>
        </w:rPr>
      </w:pPr>
      <w:bookmarkStart w:id="6" w:name="_3dy6vkm" w:colFirst="0" w:colLast="0"/>
      <w:bookmarkEnd w:id="6"/>
      <w:r>
        <w:br w:type="page"/>
      </w:r>
      <w:r>
        <w:rPr>
          <w:rFonts w:ascii="Arial" w:eastAsia="Arial" w:hAnsi="Arial" w:cs="Arial"/>
          <w:b/>
          <w:sz w:val="36"/>
          <w:szCs w:val="36"/>
        </w:rPr>
        <w:lastRenderedPageBreak/>
        <w:t>Annex 1: Rates and Prices</w:t>
      </w:r>
    </w:p>
    <w:p w14:paraId="00000030" w14:textId="3AA36828" w:rsidR="00A8156B" w:rsidRDefault="00B766BB">
      <w:pPr>
        <w:rPr>
          <w:rFonts w:ascii="Arial" w:eastAsia="Arial" w:hAnsi="Arial" w:cs="Arial"/>
          <w:sz w:val="24"/>
          <w:szCs w:val="24"/>
        </w:rPr>
      </w:pPr>
      <w:r>
        <w:rPr>
          <w:rFonts w:ascii="Arial" w:hAnsi="Arial" w:cs="Arial"/>
          <w:b/>
          <w:bCs/>
          <w:color w:val="000000"/>
        </w:rPr>
        <w:t>Redacted under FOIA section 43, Commercial Interests</w:t>
      </w:r>
      <w:bookmarkStart w:id="7" w:name="_GoBack"/>
      <w:bookmarkEnd w:id="7"/>
    </w:p>
    <w:p w14:paraId="00000031" w14:textId="77777777" w:rsidR="00A8156B" w:rsidRDefault="00730A5A">
      <w:pPr>
        <w:rPr>
          <w:rFonts w:ascii="Arial" w:eastAsia="Arial" w:hAnsi="Arial" w:cs="Arial"/>
          <w:b/>
          <w:sz w:val="24"/>
          <w:szCs w:val="24"/>
        </w:rPr>
      </w:pPr>
      <w:bookmarkStart w:id="8" w:name="_1t3h5sf" w:colFirst="0" w:colLast="0"/>
      <w:bookmarkEnd w:id="8"/>
      <w:r>
        <w:t xml:space="preserve">     </w:t>
      </w:r>
    </w:p>
    <w:sectPr w:rsidR="00A8156B">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6F188" w14:textId="77777777" w:rsidR="00DC75F5" w:rsidRDefault="00DC75F5">
      <w:pPr>
        <w:spacing w:after="0" w:line="240" w:lineRule="auto"/>
      </w:pPr>
      <w:r>
        <w:separator/>
      </w:r>
    </w:p>
  </w:endnote>
  <w:endnote w:type="continuationSeparator" w:id="0">
    <w:p w14:paraId="2FD02385" w14:textId="77777777" w:rsidR="00DC75F5" w:rsidRDefault="00DC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9" w14:textId="77777777" w:rsidR="00A8156B" w:rsidRDefault="00730A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0000003A" w14:textId="0A33F1D4"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448A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3B" w14:textId="77777777" w:rsidR="00A8156B" w:rsidRDefault="00730A5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A8156B" w:rsidRDefault="00730A5A">
    <w:pPr>
      <w:tabs>
        <w:tab w:val="center" w:pos="4513"/>
        <w:tab w:val="right" w:pos="9026"/>
      </w:tabs>
      <w:spacing w:after="0"/>
    </w:pPr>
    <w:r>
      <w:t>Framework Ref: RM</w:t>
    </w:r>
    <w:r>
      <w:tab/>
      <w:t xml:space="preserve">                                           </w:t>
    </w:r>
  </w:p>
  <w:p w14:paraId="00000037"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8" w14:textId="77777777" w:rsidR="00A8156B" w:rsidRDefault="00730A5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60552" w14:textId="77777777" w:rsidR="00DC75F5" w:rsidRDefault="00DC75F5">
      <w:pPr>
        <w:spacing w:after="0" w:line="240" w:lineRule="auto"/>
      </w:pPr>
      <w:r>
        <w:separator/>
      </w:r>
    </w:p>
  </w:footnote>
  <w:footnote w:type="continuationSeparator" w:id="0">
    <w:p w14:paraId="0332CF11" w14:textId="77777777" w:rsidR="00DC75F5" w:rsidRDefault="00DC7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4"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sz w:val="20"/>
        <w:szCs w:val="20"/>
      </w:rPr>
      <w:t xml:space="preserve">RM6098 </w:t>
    </w:r>
    <w:r>
      <w:rPr>
        <w:rFonts w:ascii="Arial" w:eastAsia="Arial" w:hAnsi="Arial" w:cs="Arial"/>
        <w:b/>
        <w:color w:val="000000"/>
        <w:sz w:val="20"/>
        <w:szCs w:val="20"/>
      </w:rPr>
      <w:t>Framework Schedule 3 (Framework Prices)</w:t>
    </w:r>
  </w:p>
  <w:p w14:paraId="00000035"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2"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3"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52C25"/>
    <w:multiLevelType w:val="multilevel"/>
    <w:tmpl w:val="9CF03A34"/>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9B438F8"/>
    <w:multiLevelType w:val="multilevel"/>
    <w:tmpl w:val="87E0239A"/>
    <w:lvl w:ilvl="0">
      <w:start w:val="1"/>
      <w:numFmt w:val="decimal"/>
      <w:lvlText w:val="%1."/>
      <w:lvlJc w:val="left"/>
      <w:pPr>
        <w:ind w:left="360" w:hanging="360"/>
      </w:pPr>
      <w:rPr>
        <w:smallCaps w:val="0"/>
        <w:strike w:val="0"/>
        <w:color w:val="000000"/>
        <w:u w:val="none"/>
        <w:vertAlign w:val="baseline"/>
      </w:rPr>
    </w:lvl>
    <w:lvl w:ilvl="1">
      <w:start w:val="1"/>
      <w:numFmt w:val="lowerRoman"/>
      <w:lvlText w:val="%2."/>
      <w:lvlJc w:val="right"/>
      <w:pPr>
        <w:ind w:left="644" w:hanging="358"/>
      </w:pPr>
      <w:rPr>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6B"/>
    <w:rsid w:val="00353EE7"/>
    <w:rsid w:val="00730A5A"/>
    <w:rsid w:val="00740677"/>
    <w:rsid w:val="007448A8"/>
    <w:rsid w:val="00A8156B"/>
    <w:rsid w:val="00B766BB"/>
    <w:rsid w:val="00DC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A747B"/>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Lorna Westlake</cp:lastModifiedBy>
  <cp:revision>4</cp:revision>
  <dcterms:created xsi:type="dcterms:W3CDTF">2023-03-20T11:38:00Z</dcterms:created>
  <dcterms:modified xsi:type="dcterms:W3CDTF">2023-09-29T09:02:00Z</dcterms:modified>
</cp:coreProperties>
</file>